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34" w:rsidRDefault="002E1834" w:rsidP="002E183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834" w:rsidRDefault="002E1834" w:rsidP="002E183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834" w:rsidRDefault="002E1834" w:rsidP="002E1834">
      <w:pPr>
        <w:pStyle w:val="NoSpacing"/>
        <w:jc w:val="center"/>
        <w:rPr>
          <w:rStyle w:val="None"/>
        </w:rPr>
      </w:pPr>
      <w:bookmarkStart w:id="0" w:name="_Hlk97879124"/>
      <w:bookmarkStart w:id="1" w:name="_Hlk121217508"/>
      <w:bookmarkStart w:id="2" w:name="_Hlk101423784"/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LOUISIANA STATE MUSEUM COLLECTIONS COMMITTEE</w:t>
      </w:r>
    </w:p>
    <w:p w:rsidR="002E1834" w:rsidRDefault="002E1834" w:rsidP="002E1834">
      <w:pPr>
        <w:pStyle w:val="NoSpacing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OF THE BOARD OF DIRECTORS</w:t>
      </w:r>
    </w:p>
    <w:p w:rsidR="002E1834" w:rsidRDefault="002E1834" w:rsidP="002E1834">
      <w:pPr>
        <w:widowControl w:val="0"/>
        <w:jc w:val="center"/>
        <w:rPr>
          <w:rFonts w:eastAsia="Calibri"/>
          <w:bdr w:val="none" w:sz="0" w:space="0" w:color="auto" w:frame="1"/>
        </w:rPr>
      </w:pPr>
    </w:p>
    <w:p w:rsidR="002E1834" w:rsidRDefault="002E1834" w:rsidP="002E1834">
      <w:pPr>
        <w:widowControl w:val="0"/>
        <w:jc w:val="center"/>
        <w:rPr>
          <w:rFonts w:eastAsia="Calibri"/>
          <w:b/>
          <w:bCs/>
          <w:bdr w:val="none" w:sz="0" w:space="0" w:color="auto" w:frame="1"/>
        </w:rPr>
      </w:pPr>
      <w:r>
        <w:rPr>
          <w:rFonts w:eastAsia="Calibri"/>
          <w:b/>
          <w:bCs/>
          <w:bdr w:val="none" w:sz="0" w:space="0" w:color="auto" w:frame="1"/>
        </w:rPr>
        <w:t xml:space="preserve">Education Space (U.S. Mint), 1st Floor, New Orleans, LA  70116 </w:t>
      </w:r>
    </w:p>
    <w:p w:rsidR="002E1834" w:rsidRDefault="002E1834" w:rsidP="002E1834">
      <w:pPr>
        <w:pStyle w:val="NoSpacing"/>
        <w:jc w:val="center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</w:rPr>
        <w:t>October 31, 2023 – 10:</w:t>
      </w:r>
      <w:r w:rsidR="006F26CB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</w:rPr>
        <w:t>30</w:t>
      </w:r>
      <w:bookmarkStart w:id="3" w:name="_GoBack"/>
      <w:bookmarkEnd w:id="3"/>
      <w:r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AM, CT </w:t>
      </w:r>
    </w:p>
    <w:bookmarkEnd w:id="0"/>
    <w:p w:rsidR="002E1834" w:rsidRDefault="002E1834" w:rsidP="002E1834"/>
    <w:p w:rsidR="002E1834" w:rsidRDefault="002E1834" w:rsidP="002E1834"/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</w:rPr>
      </w:pPr>
      <w:r>
        <w:rPr>
          <w:rStyle w:val="None"/>
          <w:b/>
          <w:bCs/>
        </w:rPr>
        <w:t xml:space="preserve">I. </w:t>
      </w:r>
      <w:r>
        <w:rPr>
          <w:rStyle w:val="None"/>
          <w:b/>
          <w:bCs/>
        </w:rPr>
        <w:tab/>
        <w:t xml:space="preserve">Call to order 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Cs/>
          <w:sz w:val="20"/>
          <w:szCs w:val="20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Cs/>
          <w:sz w:val="20"/>
          <w:szCs w:val="20"/>
        </w:rPr>
      </w:pPr>
      <w:r>
        <w:rPr>
          <w:rStyle w:val="None"/>
          <w:b/>
          <w:bCs/>
          <w:color w:val="auto"/>
        </w:rPr>
        <w:t xml:space="preserve">II. </w:t>
      </w:r>
      <w:r>
        <w:rPr>
          <w:rStyle w:val="None"/>
          <w:b/>
          <w:bCs/>
          <w:color w:val="auto"/>
        </w:rPr>
        <w:tab/>
        <w:t>Adoption of Minutes from September 13, 2023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>III.</w:t>
      </w:r>
      <w:r>
        <w:rPr>
          <w:rStyle w:val="None"/>
          <w:b/>
          <w:bCs/>
          <w:color w:val="auto"/>
        </w:rPr>
        <w:tab/>
      </w:r>
      <w:bookmarkStart w:id="4" w:name="_Hlk101347364"/>
      <w:bookmarkStart w:id="5" w:name="_Hlk92114206"/>
      <w:r>
        <w:rPr>
          <w:rStyle w:val="None"/>
          <w:b/>
          <w:bCs/>
          <w:color w:val="auto"/>
        </w:rPr>
        <w:t>Proposed Acquisitions for the Collection</w:t>
      </w:r>
      <w:bookmarkEnd w:id="4"/>
    </w:p>
    <w:p w:rsidR="002E1834" w:rsidRDefault="002E1834" w:rsidP="002E1834">
      <w:pPr>
        <w:pStyle w:val="BodyAA"/>
        <w:widowControl w:val="0"/>
        <w:ind w:firstLine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ab/>
      </w:r>
      <w:r>
        <w:rPr>
          <w:rStyle w:val="None"/>
          <w:b/>
          <w:bCs/>
          <w:color w:val="auto"/>
        </w:rPr>
        <w:tab/>
        <w:t>Gifts</w:t>
      </w:r>
    </w:p>
    <w:p w:rsidR="002E1834" w:rsidRDefault="002E1834" w:rsidP="002E1834">
      <w:pPr>
        <w:pStyle w:val="BodyAA"/>
        <w:widowControl w:val="0"/>
        <w:ind w:firstLine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ab/>
      </w:r>
      <w:r>
        <w:rPr>
          <w:rStyle w:val="None"/>
          <w:b/>
          <w:bCs/>
          <w:color w:val="auto"/>
        </w:rPr>
        <w:tab/>
        <w:t>Notification of Change to Constituent</w:t>
      </w:r>
    </w:p>
    <w:p w:rsidR="002E1834" w:rsidRDefault="002E1834" w:rsidP="002E1834">
      <w:pPr>
        <w:pStyle w:val="BodyAA"/>
        <w:widowControl w:val="0"/>
        <w:ind w:firstLine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firstLine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>IV.</w:t>
      </w:r>
      <w:r>
        <w:rPr>
          <w:rStyle w:val="None"/>
          <w:b/>
          <w:bCs/>
          <w:color w:val="auto"/>
        </w:rPr>
        <w:tab/>
      </w:r>
      <w:bookmarkStart w:id="6" w:name="_Hlk101347374"/>
      <w:r>
        <w:rPr>
          <w:rStyle w:val="None"/>
          <w:b/>
          <w:bCs/>
          <w:color w:val="auto"/>
        </w:rPr>
        <w:t>Proposed Deaccessions from the Permanent Collection</w:t>
      </w:r>
      <w:bookmarkEnd w:id="6"/>
    </w:p>
    <w:p w:rsidR="002E1834" w:rsidRDefault="002E1834" w:rsidP="002E1834">
      <w:pPr>
        <w:pStyle w:val="BodyAA"/>
        <w:widowControl w:val="0"/>
        <w:ind w:firstLine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firstLine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>V.</w:t>
      </w:r>
      <w:r>
        <w:rPr>
          <w:rStyle w:val="None"/>
          <w:b/>
          <w:bCs/>
          <w:color w:val="auto"/>
        </w:rPr>
        <w:tab/>
        <w:t>Outgoing Loans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 xml:space="preserve">VI. </w:t>
      </w:r>
      <w:r>
        <w:rPr>
          <w:rStyle w:val="None"/>
          <w:b/>
          <w:bCs/>
          <w:color w:val="auto"/>
        </w:rPr>
        <w:tab/>
        <w:t>Incoming Loans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>VII.</w:t>
      </w:r>
      <w:r>
        <w:rPr>
          <w:rStyle w:val="None"/>
          <w:b/>
          <w:bCs/>
          <w:color w:val="auto"/>
        </w:rPr>
        <w:tab/>
        <w:t>Incoming Loan Extensions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>VIII.</w:t>
      </w:r>
      <w:r>
        <w:rPr>
          <w:rStyle w:val="None"/>
          <w:b/>
          <w:bCs/>
          <w:color w:val="auto"/>
        </w:rPr>
        <w:tab/>
        <w:t>Old Business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>IX</w:t>
      </w:r>
      <w:r>
        <w:rPr>
          <w:rStyle w:val="None"/>
          <w:b/>
          <w:bCs/>
          <w:color w:val="auto"/>
        </w:rPr>
        <w:tab/>
        <w:t>New Business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  <w:r>
        <w:rPr>
          <w:rStyle w:val="None"/>
          <w:b/>
          <w:bCs/>
          <w:color w:val="auto"/>
        </w:rPr>
        <w:t>X.</w:t>
      </w:r>
      <w:r>
        <w:rPr>
          <w:rStyle w:val="None"/>
          <w:b/>
          <w:bCs/>
          <w:color w:val="auto"/>
        </w:rPr>
        <w:tab/>
      </w:r>
      <w:r>
        <w:rPr>
          <w:rStyle w:val="None"/>
          <w:b/>
          <w:bCs/>
        </w:rPr>
        <w:t>Adjournment</w:t>
      </w: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</w:rPr>
      </w:pPr>
    </w:p>
    <w:bookmarkEnd w:id="5"/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  <w:lang w:val="de-DE"/>
        </w:rPr>
      </w:pPr>
    </w:p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  <w:lang w:val="de-DE"/>
        </w:rPr>
      </w:pPr>
    </w:p>
    <w:bookmarkEnd w:id="1"/>
    <w:bookmarkEnd w:id="2"/>
    <w:p w:rsidR="002E1834" w:rsidRDefault="002E1834" w:rsidP="002E1834">
      <w:pPr>
        <w:pStyle w:val="BodyAA"/>
        <w:widowControl w:val="0"/>
        <w:ind w:left="720"/>
        <w:rPr>
          <w:rStyle w:val="None"/>
          <w:b/>
          <w:bCs/>
          <w:color w:val="auto"/>
          <w:lang w:val="de-DE"/>
        </w:rPr>
      </w:pPr>
    </w:p>
    <w:p w:rsidR="00F14E5D" w:rsidRDefault="00F14E5D"/>
    <w:sectPr w:rsidR="00F1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34"/>
    <w:rsid w:val="002E1834"/>
    <w:rsid w:val="006F26CB"/>
    <w:rsid w:val="00F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F145"/>
  <w15:chartTrackingRefBased/>
  <w15:docId w15:val="{DC253AAC-95D0-4462-8FEA-CF38854D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3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1834"/>
    <w:pPr>
      <w:spacing w:after="0" w:line="240" w:lineRule="auto"/>
    </w:pPr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A">
    <w:name w:val="Body A"/>
    <w:rsid w:val="002E183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AA">
    <w:name w:val="Body A A"/>
    <w:rsid w:val="002E1834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">
    <w:name w:val="None"/>
    <w:rsid w:val="002E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Strider</dc:creator>
  <cp:keywords/>
  <dc:description/>
  <cp:lastModifiedBy>Tom Strider</cp:lastModifiedBy>
  <cp:revision>2</cp:revision>
  <dcterms:created xsi:type="dcterms:W3CDTF">2023-10-30T14:18:00Z</dcterms:created>
  <dcterms:modified xsi:type="dcterms:W3CDTF">2023-10-30T15:28:00Z</dcterms:modified>
</cp:coreProperties>
</file>